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6B607" w14:textId="04F99E15" w:rsidR="00AC0AE8" w:rsidRDefault="00AC0AE8" w:rsidP="00AC0AE8">
      <w:pPr>
        <w:jc w:val="center"/>
        <w:rPr>
          <w:b/>
          <w:sz w:val="32"/>
          <w:szCs w:val="28"/>
          <w:u w:val="single"/>
        </w:rPr>
      </w:pPr>
      <w:bookmarkStart w:id="0" w:name="_GoBack"/>
      <w:r w:rsidRPr="004506C0">
        <w:rPr>
          <w:b/>
          <w:sz w:val="32"/>
          <w:szCs w:val="28"/>
          <w:u w:val="single"/>
        </w:rPr>
        <w:t>HB</w:t>
      </w:r>
      <w:r>
        <w:rPr>
          <w:b/>
          <w:sz w:val="32"/>
          <w:szCs w:val="28"/>
          <w:u w:val="single"/>
        </w:rPr>
        <w:t>1158</w:t>
      </w:r>
      <w:r w:rsidRPr="004506C0">
        <w:rPr>
          <w:b/>
          <w:sz w:val="32"/>
          <w:szCs w:val="28"/>
          <w:u w:val="single"/>
        </w:rPr>
        <w:t>/SB</w:t>
      </w:r>
      <w:r>
        <w:rPr>
          <w:b/>
          <w:sz w:val="32"/>
          <w:szCs w:val="28"/>
          <w:u w:val="single"/>
        </w:rPr>
        <w:t>1053</w:t>
      </w:r>
      <w:r w:rsidRPr="004506C0">
        <w:rPr>
          <w:b/>
          <w:sz w:val="32"/>
          <w:szCs w:val="28"/>
          <w:u w:val="single"/>
        </w:rPr>
        <w:t xml:space="preserve"> – </w:t>
      </w:r>
      <w:r w:rsidR="00B95672">
        <w:rPr>
          <w:b/>
          <w:sz w:val="32"/>
          <w:szCs w:val="28"/>
          <w:u w:val="single"/>
        </w:rPr>
        <w:t>Katie Beckett Part A HRA</w:t>
      </w:r>
    </w:p>
    <w:bookmarkEnd w:id="0"/>
    <w:p w14:paraId="77324638" w14:textId="5EBCD431" w:rsidR="00B95672" w:rsidRDefault="00B95672" w:rsidP="00AC0AE8">
      <w:pPr>
        <w:jc w:val="center"/>
        <w:rPr>
          <w:sz w:val="32"/>
          <w:szCs w:val="28"/>
        </w:rPr>
      </w:pPr>
    </w:p>
    <w:p w14:paraId="0D2553C4" w14:textId="57922843" w:rsidR="00B95672" w:rsidRDefault="00B95672" w:rsidP="00B95672">
      <w:pPr>
        <w:rPr>
          <w:szCs w:val="28"/>
          <w:u w:val="single"/>
        </w:rPr>
      </w:pPr>
      <w:r>
        <w:rPr>
          <w:szCs w:val="28"/>
          <w:u w:val="single"/>
        </w:rPr>
        <w:t>What it is:</w:t>
      </w:r>
    </w:p>
    <w:p w14:paraId="1D1F81C3" w14:textId="296BE50A" w:rsidR="00B95672" w:rsidRDefault="00B95672" w:rsidP="00B95672">
      <w:pPr>
        <w:pStyle w:val="ListParagraph"/>
        <w:numPr>
          <w:ilvl w:val="0"/>
          <w:numId w:val="2"/>
        </w:numPr>
        <w:rPr>
          <w:szCs w:val="28"/>
        </w:rPr>
      </w:pPr>
      <w:r>
        <w:rPr>
          <w:szCs w:val="28"/>
        </w:rPr>
        <w:t>This legislation would offer enrollees in Tennessee’s Katie Beckett Part A program the opportunity to use their allotted wraparound home- and community-based services (HCBS) funds through a health reimbursement account (HRA)</w:t>
      </w:r>
    </w:p>
    <w:p w14:paraId="2B3E8C32" w14:textId="212B219E" w:rsidR="00B95672" w:rsidRDefault="00B95672" w:rsidP="00B95672">
      <w:pPr>
        <w:rPr>
          <w:szCs w:val="28"/>
        </w:rPr>
      </w:pPr>
    </w:p>
    <w:p w14:paraId="0EB56991" w14:textId="6ADA6D3F" w:rsidR="00B95672" w:rsidRDefault="00B95672" w:rsidP="00B95672">
      <w:pPr>
        <w:rPr>
          <w:szCs w:val="28"/>
          <w:u w:val="single"/>
        </w:rPr>
      </w:pPr>
      <w:r>
        <w:rPr>
          <w:szCs w:val="28"/>
          <w:u w:val="single"/>
        </w:rPr>
        <w:t>The problem:</w:t>
      </w:r>
    </w:p>
    <w:p w14:paraId="5A0EBCE6" w14:textId="3A4BCA35" w:rsidR="00B95672" w:rsidRDefault="00B95672" w:rsidP="00B95672">
      <w:pPr>
        <w:pStyle w:val="ListParagraph"/>
        <w:numPr>
          <w:ilvl w:val="0"/>
          <w:numId w:val="2"/>
        </w:numPr>
        <w:rPr>
          <w:szCs w:val="28"/>
        </w:rPr>
      </w:pPr>
      <w:r>
        <w:rPr>
          <w:szCs w:val="28"/>
        </w:rPr>
        <w:t>Currently, enrollees in Katie Beckett Part A</w:t>
      </w:r>
      <w:r w:rsidR="00625439">
        <w:rPr>
          <w:szCs w:val="28"/>
        </w:rPr>
        <w:t xml:space="preserve">, which serves children with chronic health conditions or disabilities that manifest a high level of need, </w:t>
      </w:r>
      <w:r>
        <w:rPr>
          <w:szCs w:val="28"/>
        </w:rPr>
        <w:t xml:space="preserve">must use their allotted HCBS funds by purchasing them through their Managed Care Organization (MCO). </w:t>
      </w:r>
    </w:p>
    <w:p w14:paraId="589E0B83" w14:textId="6EEE7087" w:rsidR="00B95672" w:rsidRDefault="00B95672" w:rsidP="00B95672">
      <w:pPr>
        <w:pStyle w:val="ListParagraph"/>
        <w:numPr>
          <w:ilvl w:val="0"/>
          <w:numId w:val="2"/>
        </w:numPr>
        <w:rPr>
          <w:szCs w:val="28"/>
        </w:rPr>
      </w:pPr>
      <w:r>
        <w:rPr>
          <w:szCs w:val="28"/>
        </w:rPr>
        <w:t xml:space="preserve">Parents of </w:t>
      </w:r>
      <w:r w:rsidR="00625439">
        <w:rPr>
          <w:szCs w:val="28"/>
        </w:rPr>
        <w:t>children</w:t>
      </w:r>
      <w:r>
        <w:rPr>
          <w:szCs w:val="28"/>
        </w:rPr>
        <w:t xml:space="preserve"> enrolled in the</w:t>
      </w:r>
      <w:r w:rsidR="00625439">
        <w:rPr>
          <w:szCs w:val="28"/>
        </w:rPr>
        <w:t xml:space="preserve"> state’s</w:t>
      </w:r>
      <w:r>
        <w:rPr>
          <w:szCs w:val="28"/>
        </w:rPr>
        <w:t xml:space="preserve"> Katie Beckett Part A program</w:t>
      </w:r>
      <w:r w:rsidR="00625439">
        <w:rPr>
          <w:szCs w:val="28"/>
        </w:rPr>
        <w:t xml:space="preserve"> </w:t>
      </w:r>
      <w:r>
        <w:rPr>
          <w:szCs w:val="28"/>
        </w:rPr>
        <w:t xml:space="preserve">have reported that they are, for the most part, unable to use their allotted funds </w:t>
      </w:r>
      <w:r w:rsidR="00625439">
        <w:rPr>
          <w:szCs w:val="28"/>
        </w:rPr>
        <w:t xml:space="preserve">to pay </w:t>
      </w:r>
      <w:r>
        <w:rPr>
          <w:szCs w:val="28"/>
        </w:rPr>
        <w:t>for wraparound home- and community-based services</w:t>
      </w:r>
    </w:p>
    <w:p w14:paraId="46283375" w14:textId="598BF369" w:rsidR="00B95672" w:rsidRDefault="00B95672" w:rsidP="00B95672">
      <w:pPr>
        <w:pStyle w:val="ListParagraph"/>
        <w:numPr>
          <w:ilvl w:val="0"/>
          <w:numId w:val="2"/>
        </w:numPr>
        <w:rPr>
          <w:szCs w:val="28"/>
        </w:rPr>
      </w:pPr>
      <w:r>
        <w:rPr>
          <w:szCs w:val="28"/>
        </w:rPr>
        <w:t>A large contributing factor to the inability to use these funds is the inflexibility of purchasing necessary items and services through the MCO and their contracted 3</w:t>
      </w:r>
      <w:r w:rsidRPr="00B95672">
        <w:rPr>
          <w:szCs w:val="28"/>
          <w:vertAlign w:val="superscript"/>
        </w:rPr>
        <w:t>rd</w:t>
      </w:r>
      <w:r>
        <w:rPr>
          <w:szCs w:val="28"/>
        </w:rPr>
        <w:t xml:space="preserve"> party vendors.</w:t>
      </w:r>
    </w:p>
    <w:p w14:paraId="6905DB8F" w14:textId="1E09C2F1" w:rsidR="00B95672" w:rsidRDefault="00B95672" w:rsidP="00B95672">
      <w:pPr>
        <w:pStyle w:val="ListParagraph"/>
        <w:numPr>
          <w:ilvl w:val="0"/>
          <w:numId w:val="2"/>
        </w:numPr>
        <w:rPr>
          <w:szCs w:val="28"/>
        </w:rPr>
      </w:pPr>
      <w:r>
        <w:rPr>
          <w:szCs w:val="28"/>
        </w:rPr>
        <w:t xml:space="preserve">Parents report strict cap limits on certain purchases, </w:t>
      </w:r>
      <w:r w:rsidR="00625439">
        <w:rPr>
          <w:szCs w:val="28"/>
        </w:rPr>
        <w:t>requirement that they use preferred vendor products and brands rather than those chosen by the family, dramatic up-charging for products and services by 3</w:t>
      </w:r>
      <w:r w:rsidR="00625439" w:rsidRPr="00625439">
        <w:rPr>
          <w:szCs w:val="28"/>
          <w:vertAlign w:val="superscript"/>
        </w:rPr>
        <w:t>rd</w:t>
      </w:r>
      <w:r w:rsidR="00625439">
        <w:rPr>
          <w:szCs w:val="28"/>
        </w:rPr>
        <w:t xml:space="preserve"> party vendors and untimely and inconvenient purchasing processes.</w:t>
      </w:r>
    </w:p>
    <w:p w14:paraId="77884E52" w14:textId="588DC176" w:rsidR="00625439" w:rsidRDefault="00625439" w:rsidP="00625439">
      <w:pPr>
        <w:rPr>
          <w:szCs w:val="28"/>
        </w:rPr>
      </w:pPr>
    </w:p>
    <w:p w14:paraId="5143BC69" w14:textId="157FBCC5" w:rsidR="00625439" w:rsidRDefault="00625439" w:rsidP="00625439">
      <w:pPr>
        <w:rPr>
          <w:szCs w:val="28"/>
        </w:rPr>
      </w:pPr>
      <w:r>
        <w:rPr>
          <w:szCs w:val="28"/>
          <w:u w:val="single"/>
        </w:rPr>
        <w:t>The context:</w:t>
      </w:r>
    </w:p>
    <w:p w14:paraId="607988F0" w14:textId="2224BD4F" w:rsidR="00625439" w:rsidRDefault="00625439" w:rsidP="00625439">
      <w:pPr>
        <w:pStyle w:val="ListParagraph"/>
        <w:numPr>
          <w:ilvl w:val="0"/>
          <w:numId w:val="3"/>
        </w:numPr>
        <w:rPr>
          <w:szCs w:val="28"/>
        </w:rPr>
      </w:pPr>
      <w:r>
        <w:rPr>
          <w:szCs w:val="28"/>
        </w:rPr>
        <w:t xml:space="preserve">TennCare chose to design its Katie Beckett program in a unique manner, unlike any other state. </w:t>
      </w:r>
    </w:p>
    <w:p w14:paraId="767F5424" w14:textId="32F4AC4B" w:rsidR="00625439" w:rsidRDefault="00625439" w:rsidP="00625439">
      <w:pPr>
        <w:pStyle w:val="ListParagraph"/>
        <w:numPr>
          <w:ilvl w:val="0"/>
          <w:numId w:val="3"/>
        </w:numPr>
        <w:rPr>
          <w:szCs w:val="28"/>
        </w:rPr>
      </w:pPr>
      <w:r>
        <w:rPr>
          <w:szCs w:val="28"/>
        </w:rPr>
        <w:t>Bifurcating the program into Part A (similar to traditional Katie Beckett programs in other states) and Part B, which is a Medicaid diversion program, has created two classes of families of children with disabilities with different flexibilities</w:t>
      </w:r>
    </w:p>
    <w:p w14:paraId="0CE6ACD1" w14:textId="33B77A3D" w:rsidR="00625439" w:rsidRPr="00625439" w:rsidRDefault="00625439" w:rsidP="00625439">
      <w:pPr>
        <w:pStyle w:val="ListParagraph"/>
        <w:numPr>
          <w:ilvl w:val="0"/>
          <w:numId w:val="3"/>
        </w:numPr>
        <w:rPr>
          <w:szCs w:val="28"/>
        </w:rPr>
      </w:pPr>
      <w:r>
        <w:rPr>
          <w:szCs w:val="28"/>
        </w:rPr>
        <w:t>Many families of children who qualify for Part A (have high levels of need) are choosing Part B, forgoing the full Medicaid package offered in Part A in exchange for the flexibility of Part B. They often pay out of pocket for medical care in this case,</w:t>
      </w:r>
    </w:p>
    <w:p w14:paraId="06E25684" w14:textId="6F8278B5" w:rsidR="0089601E" w:rsidRDefault="0089601E"/>
    <w:p w14:paraId="7B5DB22F" w14:textId="1E753E55" w:rsidR="00625439" w:rsidRDefault="00625439">
      <w:r>
        <w:rPr>
          <w:u w:val="single"/>
        </w:rPr>
        <w:t>The solution:</w:t>
      </w:r>
    </w:p>
    <w:p w14:paraId="12E4FD8D" w14:textId="6BDA3654" w:rsidR="00625439" w:rsidRPr="00625439" w:rsidRDefault="00625439" w:rsidP="00625439">
      <w:pPr>
        <w:pStyle w:val="ListParagraph"/>
        <w:numPr>
          <w:ilvl w:val="0"/>
          <w:numId w:val="4"/>
        </w:numPr>
      </w:pPr>
      <w:r>
        <w:t>Offer parents of children with the most profound disabilities the flexibility TennCare allots to the Medicaid diversion program (Part B) by permitting them the opportunity to utilize their HCBS wraparound funds using a more flexible and more responsive Health Reimbursement Account</w:t>
      </w:r>
    </w:p>
    <w:sectPr w:rsidR="00625439" w:rsidRPr="00625439" w:rsidSect="00676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62CF9"/>
    <w:multiLevelType w:val="hybridMultilevel"/>
    <w:tmpl w:val="001C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111E7"/>
    <w:multiLevelType w:val="hybridMultilevel"/>
    <w:tmpl w:val="8456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A0493"/>
    <w:multiLevelType w:val="hybridMultilevel"/>
    <w:tmpl w:val="7BA0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E24C7"/>
    <w:multiLevelType w:val="hybridMultilevel"/>
    <w:tmpl w:val="4576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E8"/>
    <w:rsid w:val="00625439"/>
    <w:rsid w:val="00676A72"/>
    <w:rsid w:val="0089601E"/>
    <w:rsid w:val="00AC0AE8"/>
    <w:rsid w:val="00B9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1F086"/>
  <w15:chartTrackingRefBased/>
  <w15:docId w15:val="{CB8AE235-9C14-D649-993D-A59A1F9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2025-02-27T21:24:00Z</dcterms:created>
  <dcterms:modified xsi:type="dcterms:W3CDTF">2025-02-27T22:02:00Z</dcterms:modified>
</cp:coreProperties>
</file>